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WG2#1</w:t>
      </w:r>
      <w:r>
        <w:rPr>
          <w:rFonts w:hint="eastAsia" w:eastAsia="宋体"/>
          <w:b/>
          <w:lang w:val="en-US" w:eastAsia="zh-CN"/>
        </w:rPr>
        <w:t>25bis</w:t>
      </w:r>
      <w:r>
        <w:rPr>
          <w:b/>
        </w:rPr>
        <w:tab/>
      </w:r>
      <w:bookmarkStart w:id="6" w:name="_GoBack"/>
      <w:r>
        <w:rPr>
          <w:rFonts w:hint="eastAsia"/>
          <w:b/>
        </w:rPr>
        <w:t>R2-2402546</w:t>
      </w:r>
      <w:bookmarkEnd w:id="6"/>
    </w:p>
    <w:p>
      <w:pPr>
        <w:pStyle w:val="56"/>
        <w:jc w:val="left"/>
        <w:rPr>
          <w:rFonts w:hint="eastAsia" w:cs="Arial"/>
          <w:sz w:val="20"/>
        </w:rPr>
      </w:pPr>
      <w:r>
        <w:rPr>
          <w:rFonts w:hint="eastAsia" w:eastAsia="宋体" w:cs="Arial"/>
          <w:sz w:val="20"/>
          <w:lang w:val="en-US" w:eastAsia="zh-CN"/>
        </w:rPr>
        <w:t>Changsha</w:t>
      </w:r>
      <w:r>
        <w:rPr>
          <w:rFonts w:hint="eastAsia" w:cs="Arial"/>
          <w:sz w:val="20"/>
        </w:rPr>
        <w:t xml:space="preserve">,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15</w:t>
      </w:r>
      <w:r>
        <w:rPr>
          <w:rFonts w:hint="eastAsia" w:cs="Arial"/>
          <w:sz w:val="20"/>
        </w:rPr>
        <w:t xml:space="preserve">th –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19</w:t>
      </w:r>
      <w:r>
        <w:rPr>
          <w:rFonts w:hint="eastAsia" w:cs="Arial"/>
          <w:sz w:val="20"/>
        </w:rPr>
        <w:t>th,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8.9.3</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lang w:val="en-US" w:eastAsia="zh-CN"/>
        </w:rPr>
        <w:t>early data transmission enhancements for IoT-NTN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rPr>
          <w:rFonts w:hint="default" w:eastAsiaTheme="minorEastAsia"/>
          <w:bCs/>
          <w:lang w:val="en-US" w:eastAsia="zh-CN"/>
        </w:rPr>
      </w:pPr>
      <w:r>
        <w:rPr>
          <w:rFonts w:hint="eastAsia" w:eastAsiaTheme="minorEastAsia"/>
          <w:bCs/>
          <w:lang w:val="en-US" w:eastAsia="zh-CN"/>
        </w:rPr>
        <w:t xml:space="preserve">With the increasing number of IoT devices, it is clearly emerging that IoT-NTN, especially NB-IoT, </w:t>
      </w:r>
      <w:r>
        <w:t>will have to support massive capacity in terms of number and types of UE, some of which with worse characteristics than others (e.g. low cost devices, wearables, etc).</w:t>
      </w:r>
      <w:r>
        <w:rPr>
          <w:rFonts w:hint="eastAsia" w:eastAsia="宋体"/>
          <w:lang w:val="en-US" w:eastAsia="zh-CN"/>
        </w:rPr>
        <w:t xml:space="preserve"> Therefore, </w:t>
      </w:r>
      <w:r>
        <w:rPr>
          <w:rFonts w:hint="eastAsia" w:eastAsiaTheme="minorEastAsia"/>
          <w:bCs/>
          <w:lang w:val="en-US" w:eastAsia="zh-CN"/>
        </w:rPr>
        <w:t>uplink capacity enhancements are needed, for R19 IoT-NTN, detail work scope for RAN2 is as follows:</w:t>
      </w:r>
    </w:p>
    <w:p>
      <w:pPr>
        <w:numPr>
          <w:ilvl w:val="0"/>
          <w:numId w:val="11"/>
        </w:numPr>
        <w:spacing w:after="0"/>
        <w:rPr>
          <w:bCs/>
          <w:i/>
          <w:iCs/>
        </w:rPr>
      </w:pPr>
      <w:r>
        <w:rPr>
          <w:bCs/>
          <w:i/>
          <w:iCs/>
        </w:rPr>
        <w:t>Support of Capacity enhancements for uplink</w:t>
      </w:r>
    </w:p>
    <w:p>
      <w:pPr>
        <w:numPr>
          <w:ilvl w:val="1"/>
          <w:numId w:val="11"/>
        </w:numPr>
        <w:tabs>
          <w:tab w:val="left" w:pos="720"/>
        </w:tabs>
        <w:spacing w:after="0"/>
        <w:rPr>
          <w:bCs/>
          <w:i/>
          <w:iCs/>
        </w:rPr>
      </w:pPr>
      <w:r>
        <w:rPr>
          <w:bCs/>
          <w:i/>
          <w:iCs/>
        </w:rPr>
        <w:t xml:space="preserve">Study and specify, if beneficial the following enhancements to </w:t>
      </w:r>
      <w:bookmarkStart w:id="2" w:name="OLE_LINK26"/>
      <w:r>
        <w:rPr>
          <w:bCs/>
          <w:i/>
          <w:iCs/>
        </w:rPr>
        <w:t xml:space="preserve">reduce the necessary uplink and downlink signaling to complete an </w:t>
      </w:r>
      <w:bookmarkStart w:id="3" w:name="OLE_LINK14"/>
      <w:r>
        <w:rPr>
          <w:bCs/>
          <w:i/>
          <w:iCs/>
        </w:rPr>
        <w:t xml:space="preserve">Early Data Transmission </w:t>
      </w:r>
      <w:bookmarkEnd w:id="3"/>
      <w:r>
        <w:rPr>
          <w:bCs/>
          <w:i/>
          <w:iCs/>
        </w:rPr>
        <w:t xml:space="preserve">(EDT) transaction </w:t>
      </w:r>
      <w:bookmarkEnd w:id="2"/>
      <w:r>
        <w:rPr>
          <w:bCs/>
          <w:i/>
          <w:iCs/>
        </w:rPr>
        <w:t>[RAN2]:</w:t>
      </w:r>
    </w:p>
    <w:p>
      <w:pPr>
        <w:numPr>
          <w:ilvl w:val="2"/>
          <w:numId w:val="11"/>
        </w:numPr>
        <w:spacing w:after="0"/>
        <w:rPr>
          <w:bCs/>
        </w:rPr>
      </w:pPr>
      <w:r>
        <w:rPr>
          <w:bCs/>
          <w:i/>
          <w:iCs/>
        </w:rPr>
        <w:t>Msg3 transmission without msg1/</w:t>
      </w:r>
      <w:r>
        <w:rPr>
          <w:i/>
          <w:iCs/>
        </w:rPr>
        <w:t xml:space="preserve"> </w:t>
      </w:r>
      <w:r>
        <w:rPr>
          <w:bCs/>
          <w:i/>
          <w:iCs/>
        </w:rPr>
        <w:t xml:space="preserve">Random Access Response (RAR) </w:t>
      </w:r>
    </w:p>
    <w:p>
      <w:pPr>
        <w:numPr>
          <w:ilvl w:val="2"/>
          <w:numId w:val="11"/>
        </w:numPr>
        <w:spacing w:after="0"/>
        <w:rPr>
          <w:bCs/>
        </w:rPr>
      </w:pPr>
      <w:r>
        <w:rPr>
          <w:bCs/>
        </w:rPr>
        <w:t>Efficient delivery (reduced overhead) of msg4 / RRCEarlyDataComplete</w:t>
      </w:r>
    </w:p>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mainly</w:t>
      </w:r>
      <w:r>
        <w:rPr>
          <w:rFonts w:cs="Arial"/>
        </w:rPr>
        <w:t xml:space="preserve"> provide </w:t>
      </w:r>
      <w:r>
        <w:rPr>
          <w:rFonts w:hint="eastAsia" w:cs="Arial" w:eastAsiaTheme="minorEastAsia"/>
        </w:rPr>
        <w:t xml:space="preserve">insights into potential enhancements </w:t>
      </w:r>
      <w:r>
        <w:rPr>
          <w:rFonts w:cs="Arial"/>
        </w:rPr>
        <w:t xml:space="preserve">on the </w:t>
      </w:r>
      <w:r>
        <w:rPr>
          <w:rFonts w:hint="eastAsia" w:eastAsia="宋体" w:cs="Arial"/>
          <w:lang w:val="en-US" w:eastAsia="zh-CN"/>
        </w:rPr>
        <w:t>EDT enhancements</w:t>
      </w:r>
      <w:r>
        <w:rPr>
          <w:rFonts w:cs="Arial"/>
        </w:rPr>
        <w:t xml:space="preserve"> for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4"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Early Data Transmission (EDT)</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Per the TS 36.300 [2], existing EDT procedure includes MO-EDT (Mobile Originated Early Data Transmission) and MT-EDT (Mobile Terminated Early Data Transmission). And MO-EDT allows one uplink data transmission optionally followed by one downlink data transmission during the random access procedure, while MT-EDT is intended for a single downlink data transmission during the random access procedure.</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For example, the current MO-EDT and MT-EDT for Control Plane CIoT EPS Optimisation is as following respectively:</w:t>
      </w:r>
    </w:p>
    <w:p>
      <w:pPr>
        <w:pStyle w:val="73"/>
      </w:pPr>
      <w:r>
        <w:drawing>
          <wp:inline distT="0" distB="0" distL="114300" distR="114300">
            <wp:extent cx="5229225" cy="25146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29225" cy="2514600"/>
                    </a:xfrm>
                    <a:prstGeom prst="rect">
                      <a:avLst/>
                    </a:prstGeom>
                    <a:noFill/>
                    <a:ln>
                      <a:noFill/>
                    </a:ln>
                  </pic:spPr>
                </pic:pic>
              </a:graphicData>
            </a:graphic>
          </wp:inline>
        </w:drawing>
      </w:r>
    </w:p>
    <w:p>
      <w:pPr>
        <w:pStyle w:val="60"/>
        <w:spacing w:after="0"/>
        <w:ind w:left="0" w:firstLine="0"/>
        <w:jc w:val="center"/>
        <w:rPr>
          <w:rFonts w:hint="eastAsia" w:eastAsia="宋体"/>
          <w:lang w:val="en-US" w:eastAsia="zh-CN"/>
        </w:rPr>
      </w:pPr>
      <w:r>
        <w:t>Figure 7.3b-1: MO-EDT for Control Plane CIoT EPS Optimisation</w:t>
      </w:r>
      <w:r>
        <w:rPr>
          <w:rFonts w:hint="eastAsia" w:eastAsia="宋体"/>
          <w:lang w:val="en-US" w:eastAsia="zh-CN"/>
        </w:rPr>
        <w:t xml:space="preserve"> [2]</w:t>
      </w:r>
    </w:p>
    <w:p>
      <w:pPr>
        <w:pStyle w:val="60"/>
        <w:spacing w:after="0"/>
        <w:ind w:left="0" w:firstLine="0"/>
        <w:jc w:val="center"/>
        <w:rPr>
          <w:rFonts w:hint="default" w:eastAsia="宋体"/>
          <w:lang w:val="en-US" w:eastAsia="zh-CN"/>
        </w:rPr>
      </w:pPr>
    </w:p>
    <w:p>
      <w:pPr>
        <w:pStyle w:val="73"/>
      </w:pPr>
      <w:r>
        <w:object>
          <v:shape id="_x0000_i1025" o:spt="75" type="#_x0000_t75" style="height:129pt;width:411.7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73"/>
        <w:rPr>
          <w:rFonts w:hint="default" w:eastAsia="宋体"/>
          <w:b w:val="0"/>
          <w:bCs/>
          <w:lang w:val="en-US" w:eastAsia="zh-CN"/>
        </w:rPr>
      </w:pPr>
      <w:r>
        <w:rPr>
          <w:b w:val="0"/>
          <w:bCs/>
        </w:rPr>
        <w:t>Figure 7.3c-1: MT-EDT for Control Plane CIoT EPS Optimisation</w:t>
      </w:r>
      <w:r>
        <w:rPr>
          <w:rFonts w:hint="eastAsia" w:eastAsia="宋体"/>
          <w:b w:val="0"/>
          <w:bCs/>
          <w:lang w:val="en-US" w:eastAsia="zh-CN"/>
        </w:rPr>
        <w:t xml:space="preserve"> [2]</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improve UL system capacity, </w:t>
      </w:r>
      <w:r>
        <w:rPr>
          <w:bCs/>
        </w:rPr>
        <w:t>the necessary uplink and downlink signaling to complete an EDT transaction</w:t>
      </w:r>
      <w:r>
        <w:rPr>
          <w:rFonts w:hint="eastAsia" w:eastAsia="宋体"/>
          <w:bCs/>
          <w:lang w:val="en-US" w:eastAsia="zh-CN"/>
        </w:rPr>
        <w:t xml:space="preserve"> could be considered to reduce as much as possible, which as covered in the WID scope:</w:t>
      </w:r>
    </w:p>
    <w:p>
      <w:pPr>
        <w:pStyle w:val="60"/>
        <w:numPr>
          <w:ilvl w:val="0"/>
          <w:numId w:val="12"/>
        </w:numPr>
        <w:spacing w:after="0"/>
        <w:ind w:left="840" w:leftChars="0" w:hanging="420" w:firstLineChars="0"/>
        <w:rPr>
          <w:rFonts w:hint="eastAsia" w:eastAsia="宋体"/>
          <w:bCs/>
          <w:i/>
          <w:iCs/>
          <w:lang w:val="en-US" w:eastAsia="zh-CN"/>
        </w:rPr>
      </w:pPr>
      <w:r>
        <w:rPr>
          <w:rFonts w:hint="eastAsia" w:eastAsia="宋体"/>
          <w:bCs/>
          <w:i/>
          <w:iCs/>
          <w:lang w:val="en-US" w:eastAsia="zh-CN"/>
        </w:rPr>
        <w:t xml:space="preserve">Msg3 transmission without msg1/ </w:t>
      </w:r>
      <w:r>
        <w:rPr>
          <w:bCs/>
          <w:i/>
          <w:iCs/>
        </w:rPr>
        <w:t>Random Access Response</w:t>
      </w:r>
      <w:r>
        <w:rPr>
          <w:rFonts w:hint="eastAsia" w:eastAsia="宋体"/>
          <w:bCs/>
          <w:i/>
          <w:iCs/>
          <w:lang w:val="en-US" w:eastAsia="zh-CN"/>
        </w:rPr>
        <w:t xml:space="preserve"> (RAR)</w:t>
      </w:r>
    </w:p>
    <w:p>
      <w:pPr>
        <w:pStyle w:val="60"/>
        <w:numPr>
          <w:ilvl w:val="0"/>
          <w:numId w:val="12"/>
        </w:numPr>
        <w:spacing w:after="0"/>
        <w:ind w:left="840" w:leftChars="0" w:hanging="420" w:firstLineChars="0"/>
        <w:rPr>
          <w:rFonts w:hint="eastAsia" w:eastAsiaTheme="minorEastAsia"/>
          <w:b w:val="0"/>
          <w:bCs w:val="0"/>
          <w:sz w:val="20"/>
          <w:szCs w:val="20"/>
          <w:lang w:val="en-US" w:eastAsia="zh-CN"/>
        </w:rPr>
      </w:pPr>
      <w:r>
        <w:rPr>
          <w:rFonts w:hint="eastAsia" w:eastAsia="宋体"/>
          <w:bCs/>
          <w:i/>
          <w:iCs/>
          <w:lang w:val="en-US" w:eastAsia="zh-CN"/>
        </w:rPr>
        <w:t>Efficient delivery (reduced overhead) of msg4 / RRCEarlyDataComplete</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In addition to improve UL system capacity, </w:t>
      </w:r>
      <w:r>
        <w:rPr>
          <w:rFonts w:hint="eastAsia" w:eastAsia="Arial Unicode MS"/>
          <w:lang w:val="en-US" w:eastAsia="zh-CN"/>
        </w:rPr>
        <w:t xml:space="preserve">Early Data Transmission mechanism could transmit data directly without </w:t>
      </w:r>
      <w:r>
        <w:t>transition to RRC CONNECTED</w:t>
      </w:r>
      <w:r>
        <w:rPr>
          <w:rFonts w:hint="eastAsia" w:eastAsia="宋体"/>
          <w:lang w:val="en-US" w:eastAsia="zh-CN"/>
        </w:rPr>
        <w:t xml:space="preserve">, which </w:t>
      </w:r>
      <w:r>
        <w:rPr>
          <w:rFonts w:hint="eastAsia" w:eastAsia="Arial Unicode MS"/>
          <w:lang w:val="en-US" w:eastAsia="zh-CN"/>
        </w:rPr>
        <w:t>is also beneficial for latency reduction in IoT-NTN scenario considering that</w:t>
      </w:r>
      <w:r>
        <w:rPr>
          <w:rFonts w:hint="eastAsia" w:eastAsiaTheme="minorEastAsia"/>
          <w:b w:val="0"/>
          <w:bCs w:val="0"/>
          <w:sz w:val="20"/>
          <w:szCs w:val="20"/>
          <w:lang w:val="en-US" w:eastAsia="zh-CN"/>
        </w:rPr>
        <w:t xml:space="preserve"> </w:t>
      </w:r>
      <w:r>
        <w:rPr>
          <w:rFonts w:eastAsiaTheme="minorEastAsia"/>
          <w:bCs/>
          <w:lang w:eastAsia="zh-CN"/>
        </w:rPr>
        <w:t>the propagation delay is much larger than the terrestrial network</w:t>
      </w:r>
      <w:r>
        <w:rPr>
          <w:rFonts w:hint="eastAsia" w:eastAsiaTheme="minorEastAsia"/>
          <w:bCs/>
          <w:lang w:val="en-US" w:eastAsia="zh-CN"/>
        </w:rPr>
        <w:t xml:space="preserve"> and </w:t>
      </w:r>
      <w:r>
        <w:rPr>
          <w:rFonts w:eastAsia="Arial Unicode MS"/>
        </w:rPr>
        <w:t>the maximum round trip delay is 541.46ms for GEO and 25.77ms for LEO</w:t>
      </w:r>
      <w:r>
        <w:rPr>
          <w:rFonts w:hint="eastAsia" w:eastAsia="Arial Unicode MS"/>
          <w:lang w:val="en-US" w:eastAsia="zh-CN"/>
        </w:rPr>
        <w:t xml:space="preserve">. And in IoT-NTN, </w:t>
      </w:r>
      <w:r>
        <w:t xml:space="preserve">UE </w:t>
      </w:r>
      <w:r>
        <w:rPr>
          <w:rFonts w:hint="eastAsia" w:eastAsia="宋体"/>
          <w:lang w:val="en-US" w:eastAsia="zh-CN"/>
        </w:rPr>
        <w:t>could</w:t>
      </w:r>
      <w:r>
        <w:t xml:space="preserve"> pre-compensate the Timing Advance</w:t>
      </w:r>
      <w:r>
        <w:rPr>
          <w:rFonts w:hint="eastAsia" w:eastAsia="宋体"/>
          <w:lang w:val="en-US" w:eastAsia="zh-CN"/>
        </w:rPr>
        <w:t xml:space="preserve"> based on its own valid GNSS position as well as the ephemeris and common TA provided by network. Therefore to perform Msg3 transmission without msg1/ Random Access Response, EDT combination with Pre-configured resource could be considered. </w:t>
      </w:r>
    </w:p>
    <w:p>
      <w:pPr>
        <w:pStyle w:val="60"/>
        <w:spacing w:after="0"/>
        <w:ind w:left="0" w:firstLine="0"/>
        <w:rPr>
          <w:rFonts w:hint="eastAsia" w:eastAsia="Arial Unicode MS"/>
          <w:b/>
          <w:bCs/>
          <w:lang w:val="en-US" w:eastAsia="zh-CN"/>
        </w:rPr>
      </w:pPr>
      <w:r>
        <w:rPr>
          <w:rFonts w:hint="eastAsia" w:eastAsia="Arial Unicode MS"/>
          <w:b/>
          <w:bCs/>
          <w:lang w:val="en-US" w:eastAsia="zh-CN"/>
        </w:rPr>
        <w:t xml:space="preserve">Observation 1: Early Data Transmission mechanism is beneficial for both UL system capacity improvement and latency reduction in IoT-NTN scenario. </w:t>
      </w:r>
    </w:p>
    <w:p>
      <w:pPr>
        <w:pStyle w:val="60"/>
        <w:spacing w:after="0"/>
        <w:ind w:left="0" w:firstLine="0"/>
        <w:rPr>
          <w:rFonts w:hint="eastAsia" w:eastAsia="Arial Unicode MS"/>
          <w:b/>
          <w:bCs/>
          <w:lang w:val="en-US" w:eastAsia="zh-CN"/>
        </w:rPr>
      </w:pP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 xml:space="preserve">Further, in IoT-NTN system, especially NB-IoT, considering the larger DL signaling overhead (up to 53%) and the tight coupling between UL and DL transmission, DL system capacity degradation would lead to limited UL system capacity. The UL-driven traffic, such as Mobile Originated (MO) transmissions would be mainly affected. Therefore, we could consider to discuss enhancements for MO-EDT firstly. </w:t>
      </w:r>
    </w:p>
    <w:p>
      <w:pPr>
        <w:pStyle w:val="60"/>
        <w:numPr>
          <w:ilvl w:val="0"/>
          <w:numId w:val="0"/>
        </w:numPr>
        <w:overflowPunct w:val="0"/>
        <w:autoSpaceDE w:val="0"/>
        <w:autoSpaceDN w:val="0"/>
        <w:adjustRightInd w:val="0"/>
        <w:spacing w:after="0"/>
        <w:jc w:val="left"/>
        <w:textAlignment w:val="baseline"/>
        <w:rPr>
          <w:rFonts w:hint="eastAsia" w:eastAsia="宋体"/>
          <w:bCs/>
          <w:i w:val="0"/>
          <w:iCs w:val="0"/>
          <w:lang w:val="en-US" w:eastAsia="zh-CN"/>
        </w:rPr>
      </w:pPr>
      <w:r>
        <w:rPr>
          <w:rFonts w:hint="eastAsia" w:eastAsia="宋体"/>
          <w:b/>
          <w:bCs w:val="0"/>
          <w:i w:val="0"/>
          <w:iCs w:val="0"/>
          <w:lang w:val="en-US" w:eastAsia="zh-CN"/>
        </w:rPr>
        <w:t xml:space="preserve">Proposal 1: It is proposed to enhance EDT for IoT-NTN and discuss enhancements for MO-EDT firstly. </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Preconfigured Uplink Resource (PUR)</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increase the UL system capacity, solutions reducing the reliance on DL signaling could be discussed. Some existing solution such as Preconfigured Uplink Resource (PUR) could be considered. However, the existing PUR scheme is contention free shared (CFS) and needs to reserve resources for a given UE, which only supports a limited number of pre-configured UL transmission, having an impact on the potential gains as well as network capacity available to other UEs. To resolve the issue, a contention-based PUR solution could be discussed. Network broadcasts one or several shared PUR pool(s) in a cell, then all the UEs in the cell select the UL resources in the PUR pool(s) randomly. Further, with the shared PUR pool(s), UE could perform EDT procedure </w:t>
      </w:r>
      <w:r>
        <w:rPr>
          <w:bCs/>
        </w:rPr>
        <w:t>without msg1/RAR</w:t>
      </w:r>
      <w:r>
        <w:rPr>
          <w:rFonts w:hint="eastAsia" w:eastAsia="宋体"/>
          <w:bCs/>
          <w:lang w:val="en-US" w:eastAsia="zh-CN"/>
        </w:rPr>
        <w:t>, that is to transmit msg3 directly to the network.</w:t>
      </w:r>
    </w:p>
    <w:p>
      <w:pPr>
        <w:pStyle w:val="60"/>
        <w:spacing w:after="0"/>
        <w:ind w:left="0" w:firstLine="0"/>
        <w:rPr>
          <w:rFonts w:hint="default" w:eastAsia="宋体"/>
          <w:bCs/>
          <w:lang w:val="en-US" w:eastAsia="zh-CN"/>
        </w:rPr>
      </w:pPr>
      <w:r>
        <w:rPr>
          <w:rFonts w:hint="eastAsia" w:eastAsia="宋体"/>
          <w:bCs/>
          <w:lang w:val="en-US" w:eastAsia="zh-CN"/>
        </w:rPr>
        <w:t xml:space="preserve">However, with </w:t>
      </w:r>
      <w:r>
        <w:rPr>
          <w:rFonts w:hint="eastAsia" w:eastAsiaTheme="minorEastAsia"/>
          <w:b w:val="0"/>
          <w:bCs w:val="0"/>
          <w:sz w:val="20"/>
          <w:szCs w:val="20"/>
          <w:lang w:val="en-US" w:eastAsia="zh-CN"/>
        </w:rPr>
        <w:t>contention-based shared PUR resource, obviously, there will still be a collision issue. And we could consider a similar c</w:t>
      </w:r>
      <w:r>
        <w:rPr>
          <w:lang w:eastAsia="ko-KR"/>
        </w:rPr>
        <w:t xml:space="preserve">ontention </w:t>
      </w:r>
      <w:r>
        <w:rPr>
          <w:rFonts w:hint="eastAsia" w:eastAsia="宋体"/>
          <w:lang w:val="en-US" w:eastAsia="zh-CN"/>
        </w:rPr>
        <w:t>r</w:t>
      </w:r>
      <w:r>
        <w:rPr>
          <w:lang w:eastAsia="ko-KR"/>
        </w:rPr>
        <w:t>esolution</w:t>
      </w:r>
      <w:r>
        <w:rPr>
          <w:rFonts w:hint="eastAsia" w:eastAsia="宋体"/>
          <w:lang w:val="en-US" w:eastAsia="zh-CN"/>
        </w:rPr>
        <w:t xml:space="preserve"> scheme in RACH procedure, and a maximum number of EDT transmissions based on </w:t>
      </w:r>
      <w:r>
        <w:rPr>
          <w:rFonts w:hint="eastAsia" w:eastAsiaTheme="minorEastAsia"/>
          <w:b w:val="0"/>
          <w:bCs w:val="0"/>
          <w:sz w:val="20"/>
          <w:szCs w:val="20"/>
          <w:lang w:val="en-US" w:eastAsia="zh-CN"/>
        </w:rPr>
        <w:t xml:space="preserve">shared PUR resource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consider a contention-based PUR solution to improve the UL system capacity for IoT-NTN.</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3: It is proposed to introduce a maximum number of EDT transmissions based on shared PUR resource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4: If UE attempts up to the maximum number of EDT transmissions, a fall back mechanism could be consi</w:t>
      </w:r>
      <w:r>
        <w:rPr>
          <w:rFonts w:hint="eastAsia" w:eastAsia="宋体"/>
          <w:b/>
          <w:bCs w:val="0"/>
          <w:i w:val="0"/>
          <w:iCs w:val="0"/>
          <w:lang w:val="en-US" w:eastAsia="zh-CN"/>
        </w:rPr>
        <w:t xml:space="preserve">dered, </w:t>
      </w:r>
      <w:r>
        <w:rPr>
          <w:rFonts w:hint="eastAsia" w:eastAsia="宋体"/>
          <w:b/>
          <w:bCs w:val="0"/>
          <w:lang w:val="en-US" w:eastAsia="zh-CN"/>
        </w:rPr>
        <w:t>i.e.,</w:t>
      </w:r>
      <w:r>
        <w:rPr>
          <w:rFonts w:hint="eastAsia" w:eastAsia="宋体"/>
          <w:b/>
          <w:bCs w:val="0"/>
          <w:i w:val="0"/>
          <w:iCs w:val="0"/>
          <w:lang w:val="en-US" w:eastAsia="zh-CN"/>
        </w:rPr>
        <w:t xml:space="preserve"> to p</w:t>
      </w:r>
      <w:r>
        <w:rPr>
          <w:rFonts w:hint="eastAsia" w:eastAsia="宋体"/>
          <w:b/>
          <w:bCs w:val="0"/>
          <w:i w:val="0"/>
          <w:iCs w:val="0"/>
          <w:lang w:val="en-US" w:eastAsia="zh-CN"/>
        </w:rPr>
        <w:t>erform legacy RACH procedure to obtain UL resource.</w:t>
      </w:r>
    </w:p>
    <w:bookmarkEnd w:id="4"/>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Arial Unicode MS"/>
          <w:b/>
          <w:bCs/>
          <w:lang w:val="en-US" w:eastAsia="zh-CN"/>
        </w:rPr>
      </w:pPr>
      <w:r>
        <w:rPr>
          <w:rFonts w:hint="eastAsia" w:eastAsia="Arial Unicode MS"/>
          <w:b/>
          <w:bCs/>
          <w:lang w:val="en-US" w:eastAsia="zh-CN"/>
        </w:rPr>
        <w:t xml:space="preserve">Observation 1: Early Data Transmission mechanism is beneficial for both UL system capacity improvement and latency reduction in IoT-NTN scenario. </w:t>
      </w:r>
    </w:p>
    <w:p>
      <w:pPr>
        <w:pStyle w:val="60"/>
        <w:numPr>
          <w:ilvl w:val="0"/>
          <w:numId w:val="0"/>
        </w:numPr>
        <w:overflowPunct w:val="0"/>
        <w:autoSpaceDE w:val="0"/>
        <w:autoSpaceDN w:val="0"/>
        <w:adjustRightInd w:val="0"/>
        <w:spacing w:after="0"/>
        <w:jc w:val="left"/>
        <w:textAlignment w:val="baseline"/>
        <w:rPr>
          <w:rFonts w:hint="eastAsia" w:eastAsia="宋体"/>
          <w:bCs/>
          <w:i w:val="0"/>
          <w:iCs w:val="0"/>
          <w:lang w:val="en-US" w:eastAsia="zh-CN"/>
        </w:rPr>
      </w:pPr>
      <w:r>
        <w:rPr>
          <w:rFonts w:hint="eastAsia" w:eastAsia="宋体"/>
          <w:b/>
          <w:bCs w:val="0"/>
          <w:i w:val="0"/>
          <w:iCs w:val="0"/>
          <w:lang w:val="en-US" w:eastAsia="zh-CN"/>
        </w:rPr>
        <w:t xml:space="preserve">Proposal 1: It is proposed to enhance EDT for IoT-NTN and discuss enhancements for MO-EDT firstly. </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consider a contention-based PUR solution to improve the UL system capacity for IoT-NTN.</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3: It is proposed to introduce a maximum number of EDT transmissions based on shared PUR resource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4: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2"/>
        <w:rPr>
          <w:rFonts w:cs="Arial"/>
          <w:sz w:val="32"/>
          <w:szCs w:val="32"/>
        </w:rPr>
      </w:pPr>
      <w:r>
        <w:rPr>
          <w:rFonts w:cs="Arial"/>
          <w:sz w:val="32"/>
          <w:szCs w:val="32"/>
        </w:rPr>
        <w:t>Reference</w:t>
      </w:r>
    </w:p>
    <w:p>
      <w:pPr>
        <w:pStyle w:val="29"/>
        <w:numPr>
          <w:ilvl w:val="0"/>
          <w:numId w:val="13"/>
        </w:numPr>
        <w:overflowPunct/>
        <w:autoSpaceDE/>
        <w:autoSpaceDN/>
        <w:adjustRightInd/>
        <w:spacing w:beforeLines="50" w:after="0"/>
        <w:jc w:val="left"/>
        <w:textAlignment w:val="auto"/>
        <w:rPr>
          <w:rFonts w:hint="eastAsia"/>
          <w:sz w:val="20"/>
          <w:szCs w:val="20"/>
        </w:rPr>
      </w:pPr>
      <w:bookmarkStart w:id="5" w:name="_In-sequence_SDU_delivery"/>
      <w:bookmarkEnd w:id="5"/>
      <w:r>
        <w:rPr>
          <w:rFonts w:hint="eastAsia"/>
          <w:sz w:val="20"/>
          <w:szCs w:val="20"/>
        </w:rPr>
        <w:t>RP-240776 Revised WID on Non-Terrestrial Networks (NTN) for Internet of Things (IoT) Phase 3</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36.300 V18.0.0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0F584176"/>
    <w:multiLevelType w:val="singleLevel"/>
    <w:tmpl w:val="0F584176"/>
    <w:lvl w:ilvl="0" w:tentative="0">
      <w:start w:val="1"/>
      <w:numFmt w:val="bullet"/>
      <w:lvlText w:val=""/>
      <w:lvlJc w:val="left"/>
      <w:pPr>
        <w:tabs>
          <w:tab w:val="left" w:pos="420"/>
        </w:tabs>
        <w:ind w:left="840" w:hanging="420"/>
      </w:pPr>
      <w:rPr>
        <w:rFonts w:hint="default" w:ascii="Wingdings" w:hAnsi="Wingdings"/>
      </w:r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1"/>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10"/>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B631E"/>
    <w:rsid w:val="016318F9"/>
    <w:rsid w:val="017A73D0"/>
    <w:rsid w:val="019A10AD"/>
    <w:rsid w:val="01BF172D"/>
    <w:rsid w:val="022F4B03"/>
    <w:rsid w:val="02744528"/>
    <w:rsid w:val="028D67E7"/>
    <w:rsid w:val="02CC0A1F"/>
    <w:rsid w:val="03A11802"/>
    <w:rsid w:val="03F47F88"/>
    <w:rsid w:val="048A5003"/>
    <w:rsid w:val="04A13B04"/>
    <w:rsid w:val="04B403C6"/>
    <w:rsid w:val="04BC080F"/>
    <w:rsid w:val="04DA176A"/>
    <w:rsid w:val="04F07943"/>
    <w:rsid w:val="04F50E2F"/>
    <w:rsid w:val="05606A49"/>
    <w:rsid w:val="05983EBC"/>
    <w:rsid w:val="06077EDA"/>
    <w:rsid w:val="06254DA5"/>
    <w:rsid w:val="06261BBF"/>
    <w:rsid w:val="0654248D"/>
    <w:rsid w:val="06565EAE"/>
    <w:rsid w:val="078C1F33"/>
    <w:rsid w:val="07B959B1"/>
    <w:rsid w:val="07E769A5"/>
    <w:rsid w:val="07EF7893"/>
    <w:rsid w:val="08350D3C"/>
    <w:rsid w:val="083F0917"/>
    <w:rsid w:val="0841118C"/>
    <w:rsid w:val="08AF444E"/>
    <w:rsid w:val="09133D3D"/>
    <w:rsid w:val="09BB5B6F"/>
    <w:rsid w:val="09E47F26"/>
    <w:rsid w:val="0A1A51CE"/>
    <w:rsid w:val="0A9740DA"/>
    <w:rsid w:val="0ACC0F45"/>
    <w:rsid w:val="0B4A1814"/>
    <w:rsid w:val="0B510D2F"/>
    <w:rsid w:val="0B767B3C"/>
    <w:rsid w:val="0BD60B5C"/>
    <w:rsid w:val="0C0E133A"/>
    <w:rsid w:val="0C984883"/>
    <w:rsid w:val="0CAE5B2E"/>
    <w:rsid w:val="0D524167"/>
    <w:rsid w:val="0D587FCA"/>
    <w:rsid w:val="0D681ED9"/>
    <w:rsid w:val="0D6C179F"/>
    <w:rsid w:val="0DDB664A"/>
    <w:rsid w:val="0E891356"/>
    <w:rsid w:val="0E997EF0"/>
    <w:rsid w:val="0EC440FF"/>
    <w:rsid w:val="0EF139CD"/>
    <w:rsid w:val="0FCC0A5A"/>
    <w:rsid w:val="0FE0018D"/>
    <w:rsid w:val="10221AC0"/>
    <w:rsid w:val="108131DD"/>
    <w:rsid w:val="11043CD0"/>
    <w:rsid w:val="110F10D1"/>
    <w:rsid w:val="11B82D63"/>
    <w:rsid w:val="11C5063A"/>
    <w:rsid w:val="12B27083"/>
    <w:rsid w:val="12BA7EC6"/>
    <w:rsid w:val="13116F0E"/>
    <w:rsid w:val="13132FCE"/>
    <w:rsid w:val="134A0035"/>
    <w:rsid w:val="135C7F4F"/>
    <w:rsid w:val="141B1C76"/>
    <w:rsid w:val="14A20FFB"/>
    <w:rsid w:val="14B82DC6"/>
    <w:rsid w:val="153214F9"/>
    <w:rsid w:val="153372CB"/>
    <w:rsid w:val="16150148"/>
    <w:rsid w:val="16563130"/>
    <w:rsid w:val="169343E9"/>
    <w:rsid w:val="16AA08E2"/>
    <w:rsid w:val="16F24CA6"/>
    <w:rsid w:val="177E36D0"/>
    <w:rsid w:val="179450F0"/>
    <w:rsid w:val="17945CA4"/>
    <w:rsid w:val="180E362D"/>
    <w:rsid w:val="181B2E1C"/>
    <w:rsid w:val="18787128"/>
    <w:rsid w:val="18B9619D"/>
    <w:rsid w:val="190A668D"/>
    <w:rsid w:val="191242AE"/>
    <w:rsid w:val="19AC5C42"/>
    <w:rsid w:val="19BC1AC5"/>
    <w:rsid w:val="1A330485"/>
    <w:rsid w:val="1AEF5DBD"/>
    <w:rsid w:val="1B423649"/>
    <w:rsid w:val="1B510746"/>
    <w:rsid w:val="1BA24967"/>
    <w:rsid w:val="1BD95F94"/>
    <w:rsid w:val="1BDA5141"/>
    <w:rsid w:val="1C3D1CD0"/>
    <w:rsid w:val="1C5E7298"/>
    <w:rsid w:val="1C851710"/>
    <w:rsid w:val="1DD14FB1"/>
    <w:rsid w:val="1DDD518B"/>
    <w:rsid w:val="1E1507D7"/>
    <w:rsid w:val="1E3072B7"/>
    <w:rsid w:val="1E403C53"/>
    <w:rsid w:val="1EA20D4A"/>
    <w:rsid w:val="1EAA6DF5"/>
    <w:rsid w:val="1ECC19F8"/>
    <w:rsid w:val="1EFF6958"/>
    <w:rsid w:val="1F0926FA"/>
    <w:rsid w:val="1F0A1209"/>
    <w:rsid w:val="1F734328"/>
    <w:rsid w:val="1FA11974"/>
    <w:rsid w:val="1FB32543"/>
    <w:rsid w:val="20203DE8"/>
    <w:rsid w:val="2031215C"/>
    <w:rsid w:val="20955704"/>
    <w:rsid w:val="20DB7C51"/>
    <w:rsid w:val="20E9518E"/>
    <w:rsid w:val="211313D4"/>
    <w:rsid w:val="21E52206"/>
    <w:rsid w:val="21F86645"/>
    <w:rsid w:val="23144387"/>
    <w:rsid w:val="234E7F45"/>
    <w:rsid w:val="23686144"/>
    <w:rsid w:val="239F51B6"/>
    <w:rsid w:val="241B2FD5"/>
    <w:rsid w:val="242445BB"/>
    <w:rsid w:val="243F039F"/>
    <w:rsid w:val="245B6D34"/>
    <w:rsid w:val="24B5447A"/>
    <w:rsid w:val="24B82068"/>
    <w:rsid w:val="24E10292"/>
    <w:rsid w:val="25043CC9"/>
    <w:rsid w:val="269447EB"/>
    <w:rsid w:val="27306E68"/>
    <w:rsid w:val="27606908"/>
    <w:rsid w:val="277E77C1"/>
    <w:rsid w:val="27E26E59"/>
    <w:rsid w:val="2809471B"/>
    <w:rsid w:val="28255BB3"/>
    <w:rsid w:val="285478B9"/>
    <w:rsid w:val="28603CA4"/>
    <w:rsid w:val="287D5E75"/>
    <w:rsid w:val="28AD0B61"/>
    <w:rsid w:val="29423CBE"/>
    <w:rsid w:val="29CD3FA9"/>
    <w:rsid w:val="2A4B23FB"/>
    <w:rsid w:val="2AC82235"/>
    <w:rsid w:val="2AF0613E"/>
    <w:rsid w:val="2B083F92"/>
    <w:rsid w:val="2B542A45"/>
    <w:rsid w:val="2BB96BD3"/>
    <w:rsid w:val="2BE54292"/>
    <w:rsid w:val="2C285659"/>
    <w:rsid w:val="2CF51ED1"/>
    <w:rsid w:val="2CFA23BD"/>
    <w:rsid w:val="2D3B228A"/>
    <w:rsid w:val="2D5923F4"/>
    <w:rsid w:val="2DB6192E"/>
    <w:rsid w:val="2DF36570"/>
    <w:rsid w:val="2E103F98"/>
    <w:rsid w:val="2EB775B3"/>
    <w:rsid w:val="2EE85B84"/>
    <w:rsid w:val="2EF94A67"/>
    <w:rsid w:val="2F3D4E71"/>
    <w:rsid w:val="302E07AF"/>
    <w:rsid w:val="30866EAA"/>
    <w:rsid w:val="30946552"/>
    <w:rsid w:val="309E20B5"/>
    <w:rsid w:val="311B0263"/>
    <w:rsid w:val="316D7D0D"/>
    <w:rsid w:val="319D3380"/>
    <w:rsid w:val="31AE180F"/>
    <w:rsid w:val="32A942B0"/>
    <w:rsid w:val="32F13120"/>
    <w:rsid w:val="333663A2"/>
    <w:rsid w:val="335B55F1"/>
    <w:rsid w:val="33863C3A"/>
    <w:rsid w:val="33A81036"/>
    <w:rsid w:val="33E26367"/>
    <w:rsid w:val="33F614DE"/>
    <w:rsid w:val="34207E90"/>
    <w:rsid w:val="342C61EA"/>
    <w:rsid w:val="34914DCA"/>
    <w:rsid w:val="34C6331F"/>
    <w:rsid w:val="34D95BB9"/>
    <w:rsid w:val="354D014F"/>
    <w:rsid w:val="35502BD2"/>
    <w:rsid w:val="361C2353"/>
    <w:rsid w:val="3635547B"/>
    <w:rsid w:val="36746B61"/>
    <w:rsid w:val="36A9407C"/>
    <w:rsid w:val="36FA1D41"/>
    <w:rsid w:val="37C2178A"/>
    <w:rsid w:val="37E26F6D"/>
    <w:rsid w:val="37E93248"/>
    <w:rsid w:val="37F97B97"/>
    <w:rsid w:val="380411EC"/>
    <w:rsid w:val="3829480D"/>
    <w:rsid w:val="383529C2"/>
    <w:rsid w:val="383C5BD0"/>
    <w:rsid w:val="38536D3F"/>
    <w:rsid w:val="387D26D9"/>
    <w:rsid w:val="388727CC"/>
    <w:rsid w:val="39024B57"/>
    <w:rsid w:val="3A06167E"/>
    <w:rsid w:val="3A6F42D5"/>
    <w:rsid w:val="3A82293D"/>
    <w:rsid w:val="3A9E2AD9"/>
    <w:rsid w:val="3AC57875"/>
    <w:rsid w:val="3AE309A9"/>
    <w:rsid w:val="3AEF40DA"/>
    <w:rsid w:val="3BC23F1A"/>
    <w:rsid w:val="3C5503C9"/>
    <w:rsid w:val="3C6D47EB"/>
    <w:rsid w:val="3CD8469E"/>
    <w:rsid w:val="3D2E7413"/>
    <w:rsid w:val="3D966C01"/>
    <w:rsid w:val="3DA51E2F"/>
    <w:rsid w:val="3DB43891"/>
    <w:rsid w:val="3E0B7BD9"/>
    <w:rsid w:val="3E4456FC"/>
    <w:rsid w:val="3F7117D8"/>
    <w:rsid w:val="40325295"/>
    <w:rsid w:val="407C021F"/>
    <w:rsid w:val="40F82E28"/>
    <w:rsid w:val="41585AC3"/>
    <w:rsid w:val="41B34CCB"/>
    <w:rsid w:val="420610DF"/>
    <w:rsid w:val="429544E1"/>
    <w:rsid w:val="42CE6929"/>
    <w:rsid w:val="42F71CEC"/>
    <w:rsid w:val="43E53BCD"/>
    <w:rsid w:val="43F03364"/>
    <w:rsid w:val="443B107F"/>
    <w:rsid w:val="44776D6B"/>
    <w:rsid w:val="44843D36"/>
    <w:rsid w:val="44B14540"/>
    <w:rsid w:val="44BA7E1E"/>
    <w:rsid w:val="44BE79C3"/>
    <w:rsid w:val="455340E3"/>
    <w:rsid w:val="45CA31DA"/>
    <w:rsid w:val="45EC6821"/>
    <w:rsid w:val="45F303D0"/>
    <w:rsid w:val="45F84858"/>
    <w:rsid w:val="462356B3"/>
    <w:rsid w:val="464004CF"/>
    <w:rsid w:val="4673772B"/>
    <w:rsid w:val="46A55352"/>
    <w:rsid w:val="46B51FCF"/>
    <w:rsid w:val="46BA0199"/>
    <w:rsid w:val="46FF6AF5"/>
    <w:rsid w:val="47062A9A"/>
    <w:rsid w:val="47993F84"/>
    <w:rsid w:val="47BD666C"/>
    <w:rsid w:val="480A17DC"/>
    <w:rsid w:val="497F7FCC"/>
    <w:rsid w:val="49B17433"/>
    <w:rsid w:val="4A284A82"/>
    <w:rsid w:val="4A662E1D"/>
    <w:rsid w:val="4A7E32B4"/>
    <w:rsid w:val="4AFC533A"/>
    <w:rsid w:val="4B1367B9"/>
    <w:rsid w:val="4B316DE7"/>
    <w:rsid w:val="4B920891"/>
    <w:rsid w:val="4BB221B4"/>
    <w:rsid w:val="4C353BC7"/>
    <w:rsid w:val="4C5D54D6"/>
    <w:rsid w:val="4C814518"/>
    <w:rsid w:val="4C91315E"/>
    <w:rsid w:val="4CAD0872"/>
    <w:rsid w:val="4CCE50CA"/>
    <w:rsid w:val="4D3A24A4"/>
    <w:rsid w:val="4D594475"/>
    <w:rsid w:val="4D762F64"/>
    <w:rsid w:val="4DB06342"/>
    <w:rsid w:val="4DEC01C6"/>
    <w:rsid w:val="4DF158ED"/>
    <w:rsid w:val="4E4D0205"/>
    <w:rsid w:val="4EC83A06"/>
    <w:rsid w:val="4F2C3853"/>
    <w:rsid w:val="4F7F20AA"/>
    <w:rsid w:val="4F873909"/>
    <w:rsid w:val="4F9510BA"/>
    <w:rsid w:val="4FF617D6"/>
    <w:rsid w:val="50507ECA"/>
    <w:rsid w:val="506B2DFC"/>
    <w:rsid w:val="508F3931"/>
    <w:rsid w:val="50E64646"/>
    <w:rsid w:val="513A3326"/>
    <w:rsid w:val="516A6684"/>
    <w:rsid w:val="518C6DB2"/>
    <w:rsid w:val="51AF5989"/>
    <w:rsid w:val="51E25CE3"/>
    <w:rsid w:val="51E261D3"/>
    <w:rsid w:val="51EA16FB"/>
    <w:rsid w:val="52A32CE7"/>
    <w:rsid w:val="52A955AB"/>
    <w:rsid w:val="532C26FC"/>
    <w:rsid w:val="53322A76"/>
    <w:rsid w:val="53C54AA3"/>
    <w:rsid w:val="547F5841"/>
    <w:rsid w:val="54A648D1"/>
    <w:rsid w:val="54D81A93"/>
    <w:rsid w:val="54E44ED6"/>
    <w:rsid w:val="55571991"/>
    <w:rsid w:val="566931AC"/>
    <w:rsid w:val="56F374FB"/>
    <w:rsid w:val="59620232"/>
    <w:rsid w:val="59A00F56"/>
    <w:rsid w:val="59B24039"/>
    <w:rsid w:val="59DA5A4F"/>
    <w:rsid w:val="5A31005C"/>
    <w:rsid w:val="5B8D1AC1"/>
    <w:rsid w:val="5BA3592C"/>
    <w:rsid w:val="5BAB7539"/>
    <w:rsid w:val="5C610721"/>
    <w:rsid w:val="5C8B6FF1"/>
    <w:rsid w:val="5CFE4143"/>
    <w:rsid w:val="5D13255A"/>
    <w:rsid w:val="5D331782"/>
    <w:rsid w:val="5E204AD7"/>
    <w:rsid w:val="5E4C6102"/>
    <w:rsid w:val="5E6D4BC0"/>
    <w:rsid w:val="5EEA5BA3"/>
    <w:rsid w:val="5F3E69CE"/>
    <w:rsid w:val="6009519E"/>
    <w:rsid w:val="60AD5F5F"/>
    <w:rsid w:val="60D525F3"/>
    <w:rsid w:val="60E30438"/>
    <w:rsid w:val="612D3C7B"/>
    <w:rsid w:val="61826F89"/>
    <w:rsid w:val="623E2101"/>
    <w:rsid w:val="62947A1C"/>
    <w:rsid w:val="62CD6DE1"/>
    <w:rsid w:val="62E70A4E"/>
    <w:rsid w:val="62FD4A9D"/>
    <w:rsid w:val="632C6FC4"/>
    <w:rsid w:val="634B3FF6"/>
    <w:rsid w:val="64460ECC"/>
    <w:rsid w:val="644F5E22"/>
    <w:rsid w:val="64681DB1"/>
    <w:rsid w:val="64902A98"/>
    <w:rsid w:val="64D843A5"/>
    <w:rsid w:val="652B7ADD"/>
    <w:rsid w:val="657E520F"/>
    <w:rsid w:val="663B46C9"/>
    <w:rsid w:val="663F30CF"/>
    <w:rsid w:val="67413BF6"/>
    <w:rsid w:val="6755359A"/>
    <w:rsid w:val="67A7418D"/>
    <w:rsid w:val="67D27C62"/>
    <w:rsid w:val="67D67A95"/>
    <w:rsid w:val="67DF6978"/>
    <w:rsid w:val="694E04D2"/>
    <w:rsid w:val="695664EF"/>
    <w:rsid w:val="69653491"/>
    <w:rsid w:val="698044A5"/>
    <w:rsid w:val="6A510F7A"/>
    <w:rsid w:val="6A7259EE"/>
    <w:rsid w:val="6AA67E64"/>
    <w:rsid w:val="6AF21A55"/>
    <w:rsid w:val="6B0D712F"/>
    <w:rsid w:val="6B28575B"/>
    <w:rsid w:val="6B472B04"/>
    <w:rsid w:val="6B827ED3"/>
    <w:rsid w:val="6BD66216"/>
    <w:rsid w:val="6BE4485D"/>
    <w:rsid w:val="6BFE3795"/>
    <w:rsid w:val="6C1E113E"/>
    <w:rsid w:val="6C3B431E"/>
    <w:rsid w:val="6C857DA8"/>
    <w:rsid w:val="6CC1587C"/>
    <w:rsid w:val="6D2B74AA"/>
    <w:rsid w:val="6D697BC3"/>
    <w:rsid w:val="6D7111BC"/>
    <w:rsid w:val="6DCA5CB9"/>
    <w:rsid w:val="6E08583A"/>
    <w:rsid w:val="6E280F38"/>
    <w:rsid w:val="6E8A21F7"/>
    <w:rsid w:val="6F197436"/>
    <w:rsid w:val="6F2867BD"/>
    <w:rsid w:val="6F44559B"/>
    <w:rsid w:val="703A2630"/>
    <w:rsid w:val="709C594C"/>
    <w:rsid w:val="70C723A5"/>
    <w:rsid w:val="71D05F49"/>
    <w:rsid w:val="71F773F9"/>
    <w:rsid w:val="73090FE2"/>
    <w:rsid w:val="73265607"/>
    <w:rsid w:val="7399271A"/>
    <w:rsid w:val="73EC173C"/>
    <w:rsid w:val="73F82EA2"/>
    <w:rsid w:val="7435596C"/>
    <w:rsid w:val="74722C9A"/>
    <w:rsid w:val="747E452E"/>
    <w:rsid w:val="74A647DF"/>
    <w:rsid w:val="74FA5A4A"/>
    <w:rsid w:val="754B57C9"/>
    <w:rsid w:val="755F161D"/>
    <w:rsid w:val="75884210"/>
    <w:rsid w:val="75BD4A84"/>
    <w:rsid w:val="75EA7003"/>
    <w:rsid w:val="760D56E2"/>
    <w:rsid w:val="76EE218C"/>
    <w:rsid w:val="772E0B03"/>
    <w:rsid w:val="77642276"/>
    <w:rsid w:val="778A542A"/>
    <w:rsid w:val="77C177F8"/>
    <w:rsid w:val="77EF5E51"/>
    <w:rsid w:val="789A3CEC"/>
    <w:rsid w:val="79332F0B"/>
    <w:rsid w:val="796923D7"/>
    <w:rsid w:val="79C11BD2"/>
    <w:rsid w:val="79E8078D"/>
    <w:rsid w:val="7A3422EE"/>
    <w:rsid w:val="7A4774F3"/>
    <w:rsid w:val="7AA678C6"/>
    <w:rsid w:val="7B113087"/>
    <w:rsid w:val="7B230F9F"/>
    <w:rsid w:val="7B5441DD"/>
    <w:rsid w:val="7B9E2E7D"/>
    <w:rsid w:val="7BB92BA6"/>
    <w:rsid w:val="7BEA35A6"/>
    <w:rsid w:val="7C050B07"/>
    <w:rsid w:val="7C9E7A01"/>
    <w:rsid w:val="7D2E186E"/>
    <w:rsid w:val="7D8F4D8B"/>
    <w:rsid w:val="7DBA4407"/>
    <w:rsid w:val="7DD14D63"/>
    <w:rsid w:val="7E04089A"/>
    <w:rsid w:val="7E0773D0"/>
    <w:rsid w:val="7E5D66DD"/>
    <w:rsid w:val="7E734104"/>
    <w:rsid w:val="7E7C3173"/>
    <w:rsid w:val="7EEE5FCC"/>
    <w:rsid w:val="7F2E279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2024-04-03T09:23:27Z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EEA1E27EA654428996A8EF897E7195A2</vt:lpwstr>
  </property>
</Properties>
</file>